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F2" w:rsidRPr="00094106" w:rsidRDefault="00CF18F2">
      <w:pPr>
        <w:rPr>
          <w:rFonts w:cs="Aharoni"/>
          <w:sz w:val="32"/>
          <w:szCs w:val="32"/>
          <w:lang w:val="en-US"/>
        </w:rPr>
      </w:pPr>
    </w:p>
    <w:p w:rsidR="00CF18F2" w:rsidRPr="00094106" w:rsidRDefault="00CF18F2">
      <w:pPr>
        <w:jc w:val="both"/>
        <w:rPr>
          <w:rFonts w:ascii="Albertus Medium" w:hAnsi="Albertus Medium" w:cs="Aharoni"/>
          <w:b/>
          <w:color w:val="FF0000"/>
          <w:sz w:val="22"/>
          <w:szCs w:val="22"/>
          <w:lang w:val="en-AU" w:eastAsia="it-IT"/>
        </w:rPr>
      </w:pPr>
    </w:p>
    <w:p w:rsidR="00094106" w:rsidRPr="00094106" w:rsidRDefault="00094106">
      <w:pPr>
        <w:jc w:val="both"/>
        <w:rPr>
          <w:rFonts w:ascii="Albertus Medium" w:hAnsi="Albertus Medium" w:cs="Aharoni"/>
          <w:b/>
          <w:color w:val="00B050"/>
          <w:sz w:val="22"/>
          <w:szCs w:val="22"/>
          <w:lang w:eastAsia="it-IT"/>
        </w:rPr>
      </w:pPr>
      <w:r w:rsidRPr="00094106">
        <w:rPr>
          <w:rFonts w:ascii="Albertus Medium" w:hAnsi="Albertus Medium" w:cs="Aharoni"/>
          <w:b/>
          <w:color w:val="00B050"/>
          <w:sz w:val="22"/>
          <w:szCs w:val="22"/>
          <w:lang w:eastAsia="it-IT"/>
        </w:rPr>
        <w:t xml:space="preserve">            </w:t>
      </w:r>
      <w:r w:rsidR="00F816D1" w:rsidRPr="00094106">
        <w:rPr>
          <w:rFonts w:ascii="Albertus Medium" w:hAnsi="Albertus Medium" w:cs="Aharoni"/>
          <w:b/>
          <w:color w:val="00B050"/>
          <w:sz w:val="22"/>
          <w:szCs w:val="22"/>
          <w:lang w:eastAsia="it-IT"/>
        </w:rPr>
        <w:t xml:space="preserve">THE CENTRAL ROLE OF THE PERSON </w:t>
      </w:r>
    </w:p>
    <w:p w:rsidR="00094106" w:rsidRPr="00094106" w:rsidRDefault="00094106">
      <w:pPr>
        <w:jc w:val="both"/>
        <w:rPr>
          <w:rFonts w:ascii="Albertus Medium" w:hAnsi="Albertus Medium" w:cs="Aharoni"/>
          <w:b/>
          <w:color w:val="00B050"/>
          <w:sz w:val="22"/>
          <w:szCs w:val="22"/>
          <w:lang w:eastAsia="it-IT"/>
        </w:rPr>
      </w:pPr>
    </w:p>
    <w:p w:rsidR="00094106" w:rsidRPr="00094106" w:rsidRDefault="00094106">
      <w:pPr>
        <w:jc w:val="both"/>
        <w:rPr>
          <w:rFonts w:ascii="Albertus Medium" w:hAnsi="Albertus Medium" w:cs="Aharoni"/>
          <w:b/>
          <w:color w:val="000000" w:themeColor="text1"/>
          <w:sz w:val="22"/>
          <w:szCs w:val="22"/>
          <w:lang w:eastAsia="it-IT"/>
        </w:rPr>
      </w:pPr>
      <w:r w:rsidRPr="00094106">
        <w:rPr>
          <w:rFonts w:ascii="Albertus Medium" w:hAnsi="Albertus Medium" w:cs="Aharoni"/>
          <w:b/>
          <w:color w:val="000000" w:themeColor="text1"/>
          <w:sz w:val="22"/>
          <w:szCs w:val="22"/>
          <w:lang w:eastAsia="it-IT"/>
        </w:rPr>
        <w:t xml:space="preserve">                                   </w:t>
      </w:r>
      <w:r w:rsidR="00F816D1" w:rsidRPr="00094106">
        <w:rPr>
          <w:rFonts w:ascii="Albertus Medium" w:hAnsi="Albertus Medium" w:cs="Aharoni"/>
          <w:b/>
          <w:color w:val="000000" w:themeColor="text1"/>
          <w:sz w:val="22"/>
          <w:szCs w:val="22"/>
          <w:lang w:eastAsia="it-IT"/>
        </w:rPr>
        <w:t>AND</w:t>
      </w:r>
    </w:p>
    <w:p w:rsidR="00094106" w:rsidRPr="00094106" w:rsidRDefault="00094106">
      <w:pPr>
        <w:jc w:val="both"/>
        <w:rPr>
          <w:rFonts w:ascii="Albertus Medium" w:hAnsi="Albertus Medium" w:cs="Aharoni"/>
          <w:b/>
          <w:color w:val="000000" w:themeColor="text1"/>
          <w:sz w:val="22"/>
          <w:szCs w:val="22"/>
          <w:lang w:eastAsia="it-IT"/>
        </w:rPr>
      </w:pPr>
    </w:p>
    <w:p w:rsidR="00094106" w:rsidRPr="00094106" w:rsidRDefault="00F816D1">
      <w:pPr>
        <w:jc w:val="both"/>
        <w:rPr>
          <w:rFonts w:ascii="Albertus Medium" w:hAnsi="Albertus Medium" w:cs="Aharoni"/>
          <w:b/>
          <w:color w:val="C00000"/>
          <w:sz w:val="22"/>
          <w:szCs w:val="22"/>
          <w:lang w:eastAsia="it-IT"/>
        </w:rPr>
      </w:pPr>
      <w:r w:rsidRPr="00094106">
        <w:rPr>
          <w:rFonts w:ascii="Albertus Medium" w:hAnsi="Albertus Medium" w:cs="Aharoni"/>
          <w:b/>
          <w:color w:val="000000" w:themeColor="text1"/>
          <w:sz w:val="22"/>
          <w:szCs w:val="22"/>
          <w:lang w:eastAsia="it-IT"/>
        </w:rPr>
        <w:t xml:space="preserve"> </w:t>
      </w:r>
      <w:r w:rsidR="00094106" w:rsidRPr="00094106">
        <w:rPr>
          <w:rFonts w:ascii="Albertus Medium" w:hAnsi="Albertus Medium" w:cs="Aharoni"/>
          <w:b/>
          <w:color w:val="000000" w:themeColor="text1"/>
          <w:sz w:val="22"/>
          <w:szCs w:val="22"/>
          <w:lang w:eastAsia="it-IT"/>
        </w:rPr>
        <w:t xml:space="preserve">                        </w:t>
      </w:r>
      <w:r w:rsidRPr="00094106">
        <w:rPr>
          <w:rFonts w:ascii="Albertus Medium" w:hAnsi="Albertus Medium" w:cs="Aharoni"/>
          <w:b/>
          <w:color w:val="C00000"/>
          <w:sz w:val="22"/>
          <w:szCs w:val="22"/>
          <w:lang w:eastAsia="it-IT"/>
        </w:rPr>
        <w:t xml:space="preserve">HUMAN RELATIONSHIPS </w:t>
      </w:r>
    </w:p>
    <w:p w:rsidR="00094106" w:rsidRPr="00094106" w:rsidRDefault="00094106">
      <w:pPr>
        <w:jc w:val="both"/>
        <w:rPr>
          <w:rFonts w:ascii="Albertus Medium" w:hAnsi="Albertus Medium" w:cs="Aharoni"/>
          <w:b/>
          <w:color w:val="C00000"/>
          <w:sz w:val="22"/>
          <w:szCs w:val="22"/>
          <w:lang w:eastAsia="it-IT"/>
        </w:rPr>
      </w:pPr>
    </w:p>
    <w:p w:rsidR="00094106" w:rsidRPr="00094106" w:rsidRDefault="00094106">
      <w:pPr>
        <w:jc w:val="both"/>
        <w:rPr>
          <w:rFonts w:ascii="Albertus Medium" w:hAnsi="Albertus Medium" w:cs="Aharoni"/>
          <w:b/>
          <w:color w:val="C00000"/>
          <w:sz w:val="22"/>
          <w:szCs w:val="22"/>
          <w:lang w:eastAsia="it-IT"/>
        </w:rPr>
      </w:pPr>
      <w:r w:rsidRPr="00094106">
        <w:rPr>
          <w:rFonts w:ascii="Albertus Medium" w:hAnsi="Albertus Medium" w:cs="Aharoni"/>
          <w:b/>
          <w:color w:val="C00000"/>
          <w:sz w:val="22"/>
          <w:szCs w:val="22"/>
          <w:lang w:eastAsia="it-IT"/>
        </w:rPr>
        <w:t xml:space="preserve">       </w:t>
      </w:r>
    </w:p>
    <w:p w:rsidR="00CF18F2" w:rsidRPr="00094106" w:rsidRDefault="00094106">
      <w:pPr>
        <w:jc w:val="both"/>
        <w:rPr>
          <w:rFonts w:cs="Aharoni"/>
        </w:rPr>
      </w:pPr>
      <w:r w:rsidRPr="00094106">
        <w:rPr>
          <w:rFonts w:ascii="Albertus Medium" w:hAnsi="Albertus Medium" w:cs="Aharoni"/>
          <w:b/>
          <w:color w:val="C00000"/>
          <w:sz w:val="22"/>
          <w:szCs w:val="22"/>
          <w:lang w:eastAsia="it-IT"/>
        </w:rPr>
        <w:t xml:space="preserve">                                       </w:t>
      </w:r>
      <w:r w:rsidR="00F816D1" w:rsidRPr="00094106">
        <w:rPr>
          <w:rFonts w:ascii="Albertus Medium" w:hAnsi="Albertus Medium" w:cs="Aharoni"/>
          <w:b/>
          <w:color w:val="7030A0"/>
          <w:sz w:val="22"/>
          <w:szCs w:val="22"/>
          <w:lang w:eastAsia="it-IT"/>
        </w:rPr>
        <w:t xml:space="preserve">IN COMMUNICATION </w:t>
      </w:r>
    </w:p>
    <w:p w:rsidR="00CF18F2" w:rsidRDefault="00CF18F2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n-AU" w:eastAsia="it-IT"/>
        </w:rPr>
      </w:pPr>
    </w:p>
    <w:p w:rsidR="00094106" w:rsidRDefault="00094106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n-AU" w:eastAsia="it-IT"/>
        </w:rPr>
      </w:pPr>
    </w:p>
    <w:p w:rsidR="00CF18F2" w:rsidRDefault="00F816D1">
      <w:pPr>
        <w:pStyle w:val="SemEspaamento"/>
        <w:jc w:val="both"/>
        <w:rPr>
          <w:lang w:val="en-AU"/>
        </w:rPr>
      </w:pPr>
      <w:r>
        <w:rPr>
          <w:rFonts w:ascii="Calibri Light" w:eastAsia="Times New Roman" w:hAnsi="Calibri Light" w:cs="Times New Roman"/>
          <w:b/>
          <w:color w:val="FF0000"/>
          <w:sz w:val="32"/>
          <w:szCs w:val="32"/>
          <w:lang w:val="en-AU" w:eastAsia="it-IT"/>
        </w:rPr>
        <w:t>Dear friends!</w:t>
      </w:r>
    </w:p>
    <w:p w:rsidR="00CF18F2" w:rsidRDefault="00CF18F2">
      <w:pPr>
        <w:jc w:val="both"/>
        <w:rPr>
          <w:rFonts w:asciiTheme="majorHAnsi" w:hAnsiTheme="majorHAnsi"/>
          <w:color w:val="FF0000"/>
          <w:sz w:val="28"/>
          <w:szCs w:val="28"/>
          <w:lang w:val="en-AU" w:eastAsia="it-IT"/>
        </w:rPr>
      </w:pPr>
    </w:p>
    <w:p w:rsidR="00CF18F2" w:rsidRDefault="00F816D1">
      <w:pPr>
        <w:ind w:right="44"/>
        <w:contextualSpacing/>
        <w:jc w:val="both"/>
        <w:rPr>
          <w:lang w:val="en-AU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Fr </w:t>
      </w:r>
      <w:proofErr w:type="spellStart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Ángel</w:t>
      </w:r>
      <w:proofErr w:type="spellEnd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</w:t>
      </w:r>
      <w:proofErr w:type="spellStart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Fernández</w:t>
      </w:r>
      <w:proofErr w:type="spellEnd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</w:t>
      </w:r>
      <w:proofErr w:type="spellStart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Artime</w:t>
      </w:r>
      <w:proofErr w:type="spellEnd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, in the Rector Major‘s Road Map for the Salesian Congregation after General Chapter 28  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invites us to take up communication together as a living experience of the </w:t>
      </w:r>
      <w:r>
        <w:rPr>
          <w:rFonts w:asciiTheme="majorHAnsi" w:hAnsiTheme="majorHAnsi"/>
          <w:sz w:val="28"/>
          <w:szCs w:val="28"/>
          <w:lang w:val="en-AU"/>
        </w:rPr>
        <w:t>“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Salesian sacrament</w:t>
      </w:r>
      <w:r>
        <w:rPr>
          <w:rFonts w:asciiTheme="majorHAnsi" w:hAnsiTheme="majorHAnsi"/>
          <w:sz w:val="28"/>
          <w:szCs w:val="28"/>
          <w:lang w:val="en-AU"/>
        </w:rPr>
        <w:t>”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of presence in the youth culture of our times.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What does this recommendation mean for us, as educators and communicators, in our work with the young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in our works, communication sectors like Radio, the Salesian Bulletin, Web Sites, Social Networks, Publishing Houses, Newspapers and the other initiatives we carry out in the field of communication?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Pr="00B34F17" w:rsidRDefault="00F816D1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The word ‘sacrament’ refers </w:t>
      </w:r>
      <w:proofErr w:type="gramStart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to </w:t>
      </w:r>
      <w:r w:rsidR="00B34F17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the</w:t>
      </w:r>
      <w:proofErr w:type="gramEnd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dime</w:t>
      </w:r>
      <w:r w:rsidR="00B34F17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nsion of the sacred, the sign of an 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i</w:t>
      </w:r>
      <w:r w:rsidR="00B34F17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nvisible reality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.  Our presence as a sacrament of communication harks back to the Incarnation of the Word who became the visible presence of God among us.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God manifests his love in a concrete way through the incarnation of his Son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</w:rPr>
        <w:t>: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And the word became flesh and lived among us. </w:t>
      </w:r>
      <w:proofErr w:type="gramStart"/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( </w:t>
      </w:r>
      <w:proofErr w:type="spellStart"/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Jn</w:t>
      </w:r>
      <w:proofErr w:type="spellEnd"/>
      <w:proofErr w:type="gramEnd"/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1:14). 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Communication finds its vital roots in the Word, the Communicator of God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. The Word is the source of life, visibly integrated into the history of salvation.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Communication is fundamentally the presence of the divine person in human history: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the Word is love, relationship, word, language</w:t>
      </w:r>
      <w:proofErr w:type="gramStart"/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,  symbol</w:t>
      </w:r>
      <w:proofErr w:type="gramEnd"/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, listening, encounter and fraternity/fellowship.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094106" w:rsidRDefault="00094106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</w:pPr>
    </w:p>
    <w:p w:rsidR="00094106" w:rsidRDefault="00094106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Through the incarnation of the Word of God, we have received the gift of freedom to communicate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, to create, innovate, </w:t>
      </w:r>
      <w:proofErr w:type="gramStart"/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to</w:t>
      </w:r>
      <w:proofErr w:type="gramEnd"/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continue the project of creation that is God’s communication.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As co-authors of the communication of God’s project, we have the responsibility of building relationships that generate life,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promote freedom, to be people who are committed to the concrete reality of people in their communities.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The verb ‘to live among’ has a very important significance at the heart of the Salesian proposal: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being present to, being welcoming to, and journeying together with the young.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Our cheerful and gratuitous presence among the young poses a fundamental question for us: 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Who is the person who is present, and communicated with and for them?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The Salesian, with his consecrated identity, as a disciple of the Lord</w:t>
      </w:r>
      <w:proofErr w:type="gramStart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,  is</w:t>
      </w:r>
      <w:proofErr w:type="gramEnd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the communicator of cheerfulness and optimism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because he follows and loves Jesus Christ, the Communicator of the Father.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The identity of the Salesian, of the communicator and educator of the young, gives us our reference and authority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for communicating with the heart of the good shepherd.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en-AU"/>
        </w:rPr>
        <w:t>The identity of the Salesian communicator finds its source in the spiritual fatherhood of Don Bosco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 xml:space="preserve"> as he lived that at </w:t>
      </w:r>
      <w:proofErr w:type="spellStart"/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>Valdocco</w:t>
      </w:r>
      <w:proofErr w:type="spellEnd"/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 xml:space="preserve">.  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Like Don Bosco</w:t>
      </w:r>
      <w:proofErr w:type="gramStart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,  we</w:t>
      </w:r>
      <w:proofErr w:type="gramEnd"/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communicate in a Salesian style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, with kindness, an open heart, respectfully, simply and cheerfully.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B1159A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To live</w:t>
      </w:r>
      <w:r w:rsidR="00F816D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a </w:t>
      </w:r>
      <w:r w:rsidR="00F816D1">
        <w:rPr>
          <w:rFonts w:asciiTheme="majorHAnsi" w:hAnsiTheme="majorHAnsi"/>
          <w:b/>
          <w:sz w:val="28"/>
          <w:szCs w:val="28"/>
          <w:lang w:val="en-AU"/>
        </w:rPr>
        <w:t>“</w:t>
      </w:r>
      <w:r w:rsidR="00F816D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Salesian sacrament</w:t>
      </w:r>
      <w:r w:rsidR="00F816D1">
        <w:rPr>
          <w:rFonts w:asciiTheme="majorHAnsi" w:hAnsiTheme="majorHAnsi"/>
          <w:b/>
          <w:sz w:val="28"/>
          <w:szCs w:val="28"/>
          <w:lang w:val="en-AU"/>
        </w:rPr>
        <w:t>”</w:t>
      </w:r>
      <w:r w:rsidR="00F816D1"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 xml:space="preserve"> of presence in communication is a constant attitude of pastoral conversion </w:t>
      </w:r>
      <w:r w:rsidR="00F816D1"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>and discernment, of dialogue and keeping up to date with the language and world of the young.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  <w:t>Thus, communicating in a youthful habitat means listening, dialoguing, discerning personally and as a community,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  <w:t xml:space="preserve"> so that communication becomes a way of being for the educative community and the family.</w:t>
      </w:r>
    </w:p>
    <w:p w:rsidR="00CF18F2" w:rsidRDefault="00CF18F2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en-AU"/>
        </w:rPr>
        <w:t>Being the Salesian sacrament of presence in communication means having a better understanding of the youthful ecosystem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 xml:space="preserve">, its languages, its symbols, </w:t>
      </w:r>
      <w:proofErr w:type="gramStart"/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>its</w:t>
      </w:r>
      <w:proofErr w:type="gramEnd"/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 xml:space="preserve"> interactive, instantaneous and proactive way of communicating.</w:t>
      </w:r>
    </w:p>
    <w:p w:rsidR="00094106" w:rsidRDefault="00094106">
      <w:pPr>
        <w:jc w:val="both"/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en-AU"/>
        </w:rPr>
        <w:lastRenderedPageBreak/>
        <w:t>Communication is a way of living the Salesian spirituality through relationships that are educational, through accompaniment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>, formation, seeking the meaning of life, and through commitment to building a more empathetic and human society.</w:t>
      </w:r>
    </w:p>
    <w:p w:rsidR="00CF18F2" w:rsidRDefault="00F816D1">
      <w:pPr>
        <w:tabs>
          <w:tab w:val="left" w:pos="6060"/>
        </w:tabs>
        <w:jc w:val="both"/>
        <w:rPr>
          <w:lang w:val="en-AU"/>
        </w:rPr>
      </w:pP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ab/>
      </w:r>
    </w:p>
    <w:p w:rsidR="00CF18F2" w:rsidRDefault="00F816D1">
      <w:pPr>
        <w:jc w:val="both"/>
      </w:pPr>
      <w:r>
        <w:rPr>
          <w:rFonts w:asciiTheme="majorHAnsi" w:eastAsiaTheme="majorEastAsia" w:hAnsiTheme="majorHAnsi"/>
          <w:b/>
          <w:color w:val="002060"/>
          <w:sz w:val="28"/>
          <w:szCs w:val="28"/>
          <w:lang w:val="en-AU"/>
        </w:rPr>
        <w:t>Pope Francis, in his letter to the Rector Major</w:t>
      </w:r>
      <w:r>
        <w:rPr>
          <w:rStyle w:val="Forte"/>
          <w:rFonts w:asciiTheme="majorHAnsi" w:hAnsiTheme="majorHAnsi" w:cs="Arial"/>
          <w:color w:val="002060"/>
          <w:sz w:val="28"/>
          <w:szCs w:val="28"/>
          <w:lang w:val="en-AU"/>
        </w:rPr>
        <w:t xml:space="preserve">, Fr </w:t>
      </w:r>
      <w:proofErr w:type="spellStart"/>
      <w:r>
        <w:rPr>
          <w:rStyle w:val="Forte"/>
          <w:rFonts w:asciiTheme="majorHAnsi" w:hAnsiTheme="majorHAnsi" w:cs="Arial"/>
          <w:color w:val="002060"/>
          <w:sz w:val="28"/>
          <w:szCs w:val="28"/>
          <w:lang w:val="en-AU"/>
        </w:rPr>
        <w:t>Ángel</w:t>
      </w:r>
      <w:proofErr w:type="spellEnd"/>
      <w:r>
        <w:rPr>
          <w:rStyle w:val="Forte"/>
          <w:rFonts w:asciiTheme="majorHAnsi" w:hAnsiTheme="majorHAnsi" w:cs="Arial"/>
          <w:color w:val="002060"/>
          <w:sz w:val="28"/>
          <w:szCs w:val="28"/>
          <w:lang w:val="en-AU"/>
        </w:rPr>
        <w:t xml:space="preserve"> </w:t>
      </w:r>
      <w:proofErr w:type="spellStart"/>
      <w:r>
        <w:rPr>
          <w:rStyle w:val="Forte"/>
          <w:rFonts w:asciiTheme="majorHAnsi" w:hAnsiTheme="majorHAnsi" w:cs="Arial"/>
          <w:color w:val="002060"/>
          <w:sz w:val="28"/>
          <w:szCs w:val="28"/>
          <w:lang w:val="en-AU"/>
        </w:rPr>
        <w:t>Fernández</w:t>
      </w:r>
      <w:proofErr w:type="spellEnd"/>
      <w:r>
        <w:rPr>
          <w:rStyle w:val="Forte"/>
          <w:rFonts w:asciiTheme="majorHAnsi" w:hAnsiTheme="majorHAnsi" w:cs="Arial"/>
          <w:color w:val="002060"/>
          <w:sz w:val="28"/>
          <w:szCs w:val="28"/>
          <w:lang w:val="en-AU"/>
        </w:rPr>
        <w:t>, for the bicentenary of the birth of Saint John Bosco</w:t>
      </w:r>
      <w:proofErr w:type="gramStart"/>
      <w:r>
        <w:rPr>
          <w:rStyle w:val="nfase"/>
          <w:rFonts w:asciiTheme="majorHAnsi" w:hAnsiTheme="majorHAnsi" w:cs="Arial"/>
          <w:i w:val="0"/>
          <w:color w:val="002060"/>
          <w:sz w:val="28"/>
          <w:szCs w:val="28"/>
          <w:lang w:val="en-AU"/>
        </w:rPr>
        <w:t xml:space="preserve">, </w:t>
      </w:r>
      <w:r>
        <w:rPr>
          <w:rFonts w:asciiTheme="majorHAnsi" w:hAnsiTheme="majorHAnsi" w:cs="Arial"/>
          <w:color w:val="002060"/>
          <w:sz w:val="28"/>
          <w:szCs w:val="28"/>
          <w:shd w:val="clear" w:color="auto" w:fill="FFFFFF"/>
          <w:lang w:val="en-AU"/>
        </w:rPr>
        <w:t xml:space="preserve"> 24</w:t>
      </w:r>
      <w:proofErr w:type="gramEnd"/>
      <w:r>
        <w:rPr>
          <w:rFonts w:asciiTheme="majorHAnsi" w:hAnsiTheme="majorHAnsi" w:cs="Arial"/>
          <w:color w:val="002060"/>
          <w:sz w:val="28"/>
          <w:szCs w:val="28"/>
          <w:shd w:val="clear" w:color="auto" w:fill="FFFFFF"/>
          <w:lang w:val="en-AU"/>
        </w:rPr>
        <w:t xml:space="preserve"> June 2015, presented this challenge brilliantly:</w:t>
      </w:r>
    </w:p>
    <w:p w:rsidR="00CF18F2" w:rsidRDefault="00F816D1">
      <w:pPr>
        <w:pStyle w:val="NormalWeb"/>
        <w:shd w:val="clear" w:color="auto" w:fill="FFFFFF"/>
        <w:spacing w:beforeAutospacing="0" w:after="280"/>
        <w:jc w:val="both"/>
      </w:pPr>
      <w:r>
        <w:rPr>
          <w:rFonts w:asciiTheme="majorHAnsi" w:hAnsiTheme="majorHAnsi"/>
          <w:i/>
          <w:color w:val="002060"/>
          <w:sz w:val="28"/>
          <w:szCs w:val="28"/>
          <w:lang w:val="en-AU"/>
        </w:rPr>
        <w:t>“</w:t>
      </w:r>
      <w:r>
        <w:rPr>
          <w:rFonts w:asciiTheme="majorHAnsi" w:hAnsiTheme="majorHAnsi" w:cs="Arial"/>
          <w:color w:val="002060"/>
          <w:sz w:val="28"/>
          <w:szCs w:val="28"/>
          <w:lang w:val="en-AU"/>
        </w:rPr>
        <w:t>Educate in accordance with Christian anthropology</w:t>
      </w:r>
      <w:proofErr w:type="gramStart"/>
      <w:r>
        <w:rPr>
          <w:rStyle w:val="nfase"/>
          <w:rFonts w:asciiTheme="majorHAnsi" w:hAnsiTheme="majorHAnsi" w:cs="Arial"/>
          <w:i w:val="0"/>
          <w:color w:val="002060"/>
          <w:sz w:val="28"/>
          <w:szCs w:val="28"/>
          <w:lang w:val="en-AU"/>
        </w:rPr>
        <w:t>,  to</w:t>
      </w:r>
      <w:proofErr w:type="gramEnd"/>
      <w:r>
        <w:rPr>
          <w:rStyle w:val="nfase"/>
          <w:rFonts w:asciiTheme="majorHAnsi" w:hAnsiTheme="majorHAnsi" w:cs="Arial"/>
          <w:i w:val="0"/>
          <w:color w:val="002060"/>
          <w:sz w:val="28"/>
          <w:szCs w:val="28"/>
          <w:lang w:val="en-AU"/>
        </w:rPr>
        <w:t xml:space="preserve"> the language of new communications media and social networks</w:t>
      </w:r>
      <w:r>
        <w:rPr>
          <w:rFonts w:asciiTheme="majorHAnsi" w:hAnsiTheme="majorHAnsi" w:cs="Arial"/>
          <w:i/>
          <w:color w:val="002060"/>
          <w:sz w:val="28"/>
          <w:szCs w:val="28"/>
          <w:lang w:val="en-AU"/>
        </w:rPr>
        <w:t xml:space="preserve"> that profoundly shape the cultural codes of the young, and thus the outlook of the human and religious reality.” </w:t>
      </w:r>
    </w:p>
    <w:p w:rsidR="00CF18F2" w:rsidRDefault="00F816D1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  <w:t xml:space="preserve">The cultural codes of the young are a language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>and a way of communicating and living.</w:t>
      </w:r>
    </w:p>
    <w:p w:rsidR="00CF18F2" w:rsidRDefault="00CF18F2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  <w:t>These communicative codes are associated with life’s ordinary rituals: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 xml:space="preserve"> studying, eating, coming together as a family, relating with friends, interacting online, playing sports, listening to music, praying, celebrating rituals of pain (suffering, loss, sickness, death) and happiness (health, friends, work, entertainment, serving others, Christian life).</w:t>
      </w:r>
    </w:p>
    <w:p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  <w:t>The rituals of the young take place in ordinary life, in the borderless environment of human relationships</w:t>
      </w:r>
      <w:proofErr w:type="gramStart"/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  <w:t>,  in</w:t>
      </w:r>
      <w:proofErr w:type="gramEnd"/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  <w:t xml:space="preserve"> day-to-day cultural ecosystems,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>giving them new languages, transforming them into new codes and immersing their lives in new communicative settings, in interactive and digital networks.</w:t>
      </w:r>
    </w:p>
    <w:p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  <w:t xml:space="preserve">So, let us live and educate in youthful ecosystems,  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 xml:space="preserve">in integrated human and cultural settings, where the living experience of the “Salesian sacrament” of </w:t>
      </w:r>
      <w:proofErr w:type="gramStart"/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>presence  is</w:t>
      </w:r>
      <w:proofErr w:type="gramEnd"/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 xml:space="preserve"> manifested by communicating the central role of the person and of human and Christian relationships.</w:t>
      </w:r>
    </w:p>
    <w:p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en-AU"/>
        </w:rPr>
        <w:t>We are always educators and communicators in this educational relationship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 xml:space="preserve"> because we journey with and love our young people where they meet, and await us with our heart of the good shepherd.</w:t>
      </w:r>
    </w:p>
    <w:p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CF18F2" w:rsidRDefault="00CF18F2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CF18F2" w:rsidRDefault="00F816D1">
      <w:pPr>
        <w:pStyle w:val="SemEspaamento"/>
        <w:snapToGrid w:val="0"/>
        <w:ind w:left="157" w:right="183"/>
        <w:jc w:val="both"/>
      </w:pP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  <w:t>With fraternal affection,</w:t>
      </w:r>
    </w:p>
    <w:p w:rsidR="00443162" w:rsidRDefault="00443162">
      <w:pPr>
        <w:pStyle w:val="SemEspaamento"/>
        <w:snapToGrid w:val="0"/>
        <w:ind w:left="157" w:right="183"/>
        <w:jc w:val="both"/>
        <w:rPr>
          <w:noProof/>
          <w:lang w:val="pt-BR" w:eastAsia="pt-BR"/>
        </w:rPr>
      </w:pPr>
    </w:p>
    <w:p w:rsidR="00206018" w:rsidRDefault="00206018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  <w:bookmarkStart w:id="0" w:name="_GoBack"/>
      <w:bookmarkEnd w:id="0"/>
    </w:p>
    <w:p w:rsidR="00CF18F2" w:rsidRDefault="00F816D1">
      <w:pPr>
        <w:tabs>
          <w:tab w:val="left" w:pos="5580"/>
        </w:tabs>
        <w:jc w:val="both"/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en-AU"/>
        </w:rPr>
        <w:t xml:space="preserve">Fr </w:t>
      </w:r>
      <w:proofErr w:type="spellStart"/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en-AU"/>
        </w:rPr>
        <w:t>Gildásio</w:t>
      </w:r>
      <w:proofErr w:type="spellEnd"/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en-AU"/>
        </w:rPr>
        <w:t xml:space="preserve"> Mendes dos Santos – SDB</w:t>
      </w:r>
    </w:p>
    <w:p w:rsidR="00CF18F2" w:rsidRDefault="00F816D1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en-AU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en-AU"/>
        </w:rPr>
        <w:t>Councillor for Social Communication</w:t>
      </w:r>
    </w:p>
    <w:p w:rsidR="00CF18F2" w:rsidRDefault="00CF18F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en-AU"/>
        </w:rPr>
      </w:pPr>
    </w:p>
    <w:p w:rsidR="00CF18F2" w:rsidRDefault="00CF18F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en-AU"/>
        </w:rPr>
      </w:pPr>
    </w:p>
    <w:p w:rsidR="00CF18F2" w:rsidRPr="00094106" w:rsidRDefault="00B1159A" w:rsidP="00094106">
      <w:pPr>
        <w:tabs>
          <w:tab w:val="left" w:pos="5580"/>
        </w:tabs>
        <w:jc w:val="both"/>
      </w:pP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 xml:space="preserve">                                                                               </w:t>
      </w:r>
      <w:r w:rsidR="00F816D1"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>Porto Alegre, 24 November 2020</w:t>
      </w:r>
    </w:p>
    <w:sectPr w:rsidR="00CF18F2" w:rsidRPr="00094106">
      <w:footerReference w:type="default" r:id="rId8"/>
      <w:headerReference w:type="first" r:id="rId9"/>
      <w:footerReference w:type="first" r:id="rId10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9D" w:rsidRDefault="006D3A9D">
      <w:r>
        <w:separator/>
      </w:r>
    </w:p>
  </w:endnote>
  <w:endnote w:type="continuationSeparator" w:id="0">
    <w:p w:rsidR="006D3A9D" w:rsidRDefault="006D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F2" w:rsidRDefault="00F816D1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F18F2" w:rsidRDefault="00F816D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06018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5pt;margin-top:.05pt;width:5.0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CF18F2" w:rsidRDefault="00F816D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06018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F2" w:rsidRDefault="00F816D1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Hyperlink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9D" w:rsidRDefault="006D3A9D">
      <w:r>
        <w:separator/>
      </w:r>
    </w:p>
  </w:footnote>
  <w:footnote w:type="continuationSeparator" w:id="0">
    <w:p w:rsidR="006D3A9D" w:rsidRDefault="006D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50"/>
      <w:gridCol w:w="7548"/>
    </w:tblGrid>
    <w:tr w:rsidR="00CF18F2">
      <w:trPr>
        <w:trHeight w:val="1412"/>
      </w:trPr>
      <w:tc>
        <w:tcPr>
          <w:tcW w:w="1950" w:type="dxa"/>
        </w:tcPr>
        <w:p w:rsidR="00CF18F2" w:rsidRDefault="00F816D1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>
                    <wp:simplePos x="0" y="0"/>
                    <wp:positionH relativeFrom="column">
                      <wp:posOffset>876300</wp:posOffset>
                    </wp:positionH>
                    <wp:positionV relativeFrom="paragraph">
                      <wp:posOffset>833120</wp:posOffset>
                    </wp:positionV>
                    <wp:extent cx="5038090" cy="8890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748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AutoShape 1" stroked="t" style="position:absolute;margin-left:69pt;margin-top:65.6pt;width:396.6pt;height:0.6pt;flip:y" type="shapetype_32">
                    <w10:wrap type="none"/>
                    <v:fill o:detectmouseclick="t" on="false"/>
                    <v:stroke color="#974706" weight="12600" joinstyle="round" endcap="fla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</w:tcPr>
        <w:p w:rsidR="00CF18F2" w:rsidRDefault="00CF18F2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CF18F2" w:rsidRDefault="00CF18F2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CF18F2" w:rsidRDefault="00CF18F2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CF18F2" w:rsidRDefault="00F816D1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Fr Gildasio Dos Santos Mendes sdb</w:t>
          </w:r>
        </w:p>
        <w:p w:rsidR="00CF18F2" w:rsidRDefault="00F816D1">
          <w:pPr>
            <w:jc w:val="right"/>
            <w:rPr>
              <w:color w:val="663300"/>
              <w:sz w:val="24"/>
              <w:szCs w:val="22"/>
              <w:lang w:val="it-IT"/>
            </w:rPr>
          </w:pPr>
          <w:r>
            <w:rPr>
              <w:color w:val="663300"/>
              <w:sz w:val="24"/>
              <w:szCs w:val="22"/>
              <w:lang w:val="it-IT"/>
            </w:rPr>
            <w:t>Councillor for Social Communication</w:t>
          </w:r>
        </w:p>
      </w:tc>
    </w:tr>
  </w:tbl>
  <w:p w:rsidR="00CF18F2" w:rsidRDefault="00CF18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F2"/>
    <w:rsid w:val="00047C96"/>
    <w:rsid w:val="00094106"/>
    <w:rsid w:val="00206018"/>
    <w:rsid w:val="00443162"/>
    <w:rsid w:val="006D3A9D"/>
    <w:rsid w:val="0079583D"/>
    <w:rsid w:val="00B1159A"/>
    <w:rsid w:val="00B34F17"/>
    <w:rsid w:val="00CF18F2"/>
    <w:rsid w:val="00F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1094F"/>
  </w:style>
  <w:style w:type="character" w:customStyle="1" w:styleId="FootnoteCharacters">
    <w:name w:val="Footnote Characters"/>
    <w:basedOn w:val="Fontepargpadr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410A5C"/>
    <w:rPr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1094F"/>
  </w:style>
  <w:style w:type="character" w:customStyle="1" w:styleId="FootnoteCharacters">
    <w:name w:val="Footnote Characters"/>
    <w:basedOn w:val="Fontepargpadr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410A5C"/>
    <w:rPr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kern w:val="2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A59A-D5E3-4475-9C1D-6C67F32A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7</cp:revision>
  <cp:lastPrinted>2020-11-21T20:41:00Z</cp:lastPrinted>
  <dcterms:created xsi:type="dcterms:W3CDTF">2020-11-21T00:52:00Z</dcterms:created>
  <dcterms:modified xsi:type="dcterms:W3CDTF">2020-11-27T17:10:00Z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